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DABFDB">
      <w:pPr>
        <w:pStyle w:val="2"/>
        <w:spacing w:before="360" w:after="180" w:line="276" w:lineRule="auto"/>
      </w:pPr>
      <w:r>
        <w:rPr>
          <w:b/>
          <w:bCs/>
          <w:color w:val="2E74B5"/>
          <w:sz w:val="32"/>
          <w:szCs w:val="32"/>
        </w:rPr>
        <w:t>Tier 3 Engineering Reference — Companion to “Electric Scooter Spare Parts Inventory”</w:t>
      </w:r>
    </w:p>
    <w:p w14:paraId="1A505633">
      <w:pPr>
        <w:pBdr>
          <w:left w:val="single" w:color="CCCCCC" w:sz="12" w:space="0"/>
        </w:pBdr>
        <w:shd w:val="clear" w:fill="F9F9F9"/>
        <w:spacing w:before="120" w:after="120" w:line="360" w:lineRule="auto"/>
        <w:ind w:left="720"/>
      </w:pPr>
      <w:r>
        <w:rPr>
          <w:b/>
          <w:bCs/>
          <w:i/>
          <w:iCs/>
          <w:color w:val="666666"/>
        </w:rPr>
        <w:t>Purpose:</w:t>
      </w:r>
      <w:r>
        <w:rPr>
          <w:i/>
          <w:iCs/>
          <w:color w:val="666666"/>
        </w:rPr>
        <w:t xml:space="preserve"> Six reference deliverables to supplement the blog’s Tier 3 evidence base. All items are engineering reference material (Tier 3); none claim Tier 2 industry statistics. Verify against your own consumption and supplier datasheets before committing to specific numbers.</w:t>
      </w:r>
    </w:p>
    <w:p w14:paraId="71C6594C">
      <w:pPr>
        <w:pBdr>
          <w:left w:val="single" w:color="CCCCCC" w:sz="12" w:space="0"/>
        </w:pBdr>
        <w:shd w:val="clear" w:fill="F9F9F9"/>
        <w:spacing w:before="120" w:after="120" w:line="360" w:lineRule="auto"/>
        <w:ind w:left="720"/>
      </w:pPr>
      <w:r>
        <w:rPr>
          <w:b/>
          <w:bCs/>
          <w:i/>
          <w:iCs/>
          <w:color w:val="666666"/>
        </w:rPr>
        <w:t>Version:</w:t>
      </w:r>
      <w:r>
        <w:rPr>
          <w:i/>
          <w:iCs/>
          <w:color w:val="666666"/>
        </w:rPr>
        <w:t xml:space="preserve"> v1.0 — 2026-09-16</w:t>
      </w:r>
    </w:p>
    <w:p w14:paraId="5765B805">
      <w:pPr>
        <w:jc w:val="center"/>
      </w:pPr>
      <w:r>
        <w:rPr>
          <w:color w:val="CCCCCC"/>
        </w:rPr>
        <w:t>──────────────────────────────────────────────────</w:t>
      </w:r>
    </w:p>
    <w:p w14:paraId="4EE4CAB2">
      <w:pPr>
        <w:pStyle w:val="3"/>
        <w:spacing w:before="288" w:after="180" w:line="276" w:lineRule="auto"/>
      </w:pPr>
      <w:r>
        <w:rPr>
          <w:b/>
          <w:bCs/>
          <w:color w:val="2E74B5"/>
          <w:sz w:val="28"/>
          <w:szCs w:val="28"/>
        </w:rPr>
        <w:t>Table of Contents</w:t>
      </w:r>
    </w:p>
    <w:p w14:paraId="5BD0D6AE">
      <w:pPr>
        <w:pStyle w:val="15"/>
        <w:numPr>
          <w:ilvl w:val="0"/>
          <w:numId w:val="1"/>
        </w:numPr>
        <w:spacing w:before="60" w:after="60" w:line="360" w:lineRule="auto"/>
        <w:ind w:left="360" w:hanging="259"/>
      </w:pPr>
      <w:r>
        <w:fldChar w:fldCharType="begin"/>
      </w:r>
      <w:r>
        <w:instrText xml:space="preserve"> HYPERLINK "#tier-3-engineering-reference--companion-to-electric-scooter-spare-parts-inventory" </w:instrText>
      </w:r>
      <w:r>
        <w:fldChar w:fldCharType="separate"/>
      </w:r>
      <w:r>
        <w:rPr>
          <w:color w:val="0563C1"/>
          <w:u w:val="single"/>
        </w:rPr>
        <w:t>Tier 3 Engineering Reference — Companion to “Electric Scooter Spare Parts Inventory”</w:t>
      </w:r>
      <w:r>
        <w:rPr>
          <w:color w:val="0563C1"/>
          <w:u w:val="single"/>
        </w:rPr>
        <w:fldChar w:fldCharType="end"/>
      </w:r>
    </w:p>
    <w:p w14:paraId="3E82AE07">
      <w:pPr>
        <w:pStyle w:val="15"/>
        <w:numPr>
          <w:ilvl w:val="1"/>
          <w:numId w:val="1"/>
        </w:numPr>
        <w:spacing w:before="60" w:after="60" w:line="360" w:lineRule="auto"/>
        <w:ind w:left="720" w:hanging="259"/>
      </w:pPr>
      <w:r>
        <w:fldChar w:fldCharType="begin"/>
      </w:r>
      <w:r>
        <w:instrText xml:space="preserve"> HYPERLINK "#table-of-contents" </w:instrText>
      </w:r>
      <w:r>
        <w:fldChar w:fldCharType="separate"/>
      </w:r>
      <w:r>
        <w:rPr>
          <w:color w:val="0563C1"/>
          <w:u w:val="single"/>
        </w:rPr>
        <w:t>Table of Contents</w:t>
      </w:r>
      <w:r>
        <w:rPr>
          <w:color w:val="0563C1"/>
          <w:u w:val="single"/>
        </w:rPr>
        <w:fldChar w:fldCharType="end"/>
      </w:r>
    </w:p>
    <w:p w14:paraId="79933295">
      <w:pPr>
        <w:pStyle w:val="15"/>
        <w:numPr>
          <w:ilvl w:val="1"/>
          <w:numId w:val="1"/>
        </w:numPr>
        <w:spacing w:before="60" w:after="60" w:line="360" w:lineRule="auto"/>
        <w:ind w:left="720" w:hanging="259"/>
      </w:pPr>
      <w:r>
        <w:fldChar w:fldCharType="begin"/>
      </w:r>
      <w:r>
        <w:instrText xml:space="preserve"> HYPERLINK "#1-battery-chemistry--nominal-voltage--full-charge-voltage-reference" </w:instrText>
      </w:r>
      <w:r>
        <w:fldChar w:fldCharType="separate"/>
      </w:r>
      <w:r>
        <w:rPr>
          <w:color w:val="0563C1"/>
          <w:u w:val="single"/>
        </w:rPr>
        <w:t>1. Battery Chemistry × Nominal Voltage × Full-Charge Voltage Reference</w:t>
      </w:r>
      <w:r>
        <w:rPr>
          <w:color w:val="0563C1"/>
          <w:u w:val="single"/>
        </w:rPr>
        <w:fldChar w:fldCharType="end"/>
      </w:r>
    </w:p>
    <w:p w14:paraId="3C20E2BF">
      <w:pPr>
        <w:pStyle w:val="15"/>
        <w:numPr>
          <w:ilvl w:val="1"/>
          <w:numId w:val="1"/>
        </w:numPr>
        <w:spacing w:before="60" w:after="60" w:line="360" w:lineRule="auto"/>
        <w:ind w:left="720" w:hanging="259"/>
      </w:pPr>
      <w:r>
        <w:fldChar w:fldCharType="begin"/>
      </w:r>
      <w:r>
        <w:instrText xml:space="preserve"> HYPERLINK "#2-ip-rating--climate-scenario-recommendation" </w:instrText>
      </w:r>
      <w:r>
        <w:fldChar w:fldCharType="separate"/>
      </w:r>
      <w:r>
        <w:rPr>
          <w:color w:val="0563C1"/>
          <w:u w:val="single"/>
        </w:rPr>
        <w:t>2. IP Rating × Climate Scenario Recommendation</w:t>
      </w:r>
      <w:r>
        <w:rPr>
          <w:color w:val="0563C1"/>
          <w:u w:val="single"/>
        </w:rPr>
        <w:fldChar w:fldCharType="end"/>
      </w:r>
    </w:p>
    <w:p w14:paraId="2F8BC92D">
      <w:pPr>
        <w:pStyle w:val="15"/>
        <w:numPr>
          <w:ilvl w:val="1"/>
          <w:numId w:val="1"/>
        </w:numPr>
        <w:spacing w:before="60" w:after="60" w:line="360" w:lineRule="auto"/>
        <w:ind w:left="720" w:hanging="259"/>
      </w:pPr>
      <w:r>
        <w:fldChar w:fldCharType="begin"/>
      </w:r>
      <w:r>
        <w:instrText xml:space="preserve"> HYPERLINK "#3-three-motor-controller-configurations" </w:instrText>
      </w:r>
      <w:r>
        <w:fldChar w:fldCharType="separate"/>
      </w:r>
      <w:r>
        <w:rPr>
          <w:color w:val="0563C1"/>
          <w:u w:val="single"/>
        </w:rPr>
        <w:t>3. Three Motor-Controller Configurations</w:t>
      </w:r>
      <w:r>
        <w:rPr>
          <w:color w:val="0563C1"/>
          <w:u w:val="single"/>
        </w:rPr>
        <w:fldChar w:fldCharType="end"/>
      </w:r>
    </w:p>
    <w:p w14:paraId="7962E4A8">
      <w:pPr>
        <w:pStyle w:val="15"/>
        <w:numPr>
          <w:ilvl w:val="1"/>
          <w:numId w:val="1"/>
        </w:numPr>
        <w:spacing w:before="60" w:after="60" w:line="360" w:lineRule="auto"/>
        <w:ind w:left="720" w:hanging="259"/>
      </w:pPr>
      <w:r>
        <w:fldChar w:fldCharType="begin"/>
      </w:r>
      <w:r>
        <w:instrText xml:space="preserve"> HYPERLINK "#4-hall-sensor-pinout-variability-across-manufacturers" </w:instrText>
      </w:r>
      <w:r>
        <w:fldChar w:fldCharType="separate"/>
      </w:r>
      <w:r>
        <w:rPr>
          <w:color w:val="0563C1"/>
          <w:u w:val="single"/>
        </w:rPr>
        <w:t>4. Hall-Sensor Pinout Variability Across Manufacturers</w:t>
      </w:r>
      <w:r>
        <w:rPr>
          <w:color w:val="0563C1"/>
          <w:u w:val="single"/>
        </w:rPr>
        <w:fldChar w:fldCharType="end"/>
      </w:r>
    </w:p>
    <w:p w14:paraId="479F2346">
      <w:pPr>
        <w:pStyle w:val="15"/>
        <w:numPr>
          <w:ilvl w:val="1"/>
          <w:numId w:val="1"/>
        </w:numPr>
        <w:spacing w:before="60" w:after="60" w:line="360" w:lineRule="auto"/>
        <w:ind w:left="720" w:hanging="259"/>
      </w:pPr>
      <w:r>
        <w:fldChar w:fldCharType="begin"/>
      </w:r>
      <w:r>
        <w:instrText xml:space="preserve"> HYPERLINK "#5-decision-framework-flowchart" </w:instrText>
      </w:r>
      <w:r>
        <w:fldChar w:fldCharType="separate"/>
      </w:r>
      <w:r>
        <w:rPr>
          <w:color w:val="0563C1"/>
          <w:u w:val="single"/>
        </w:rPr>
        <w:t>5. Decision Framework Flowchart</w:t>
      </w:r>
      <w:r>
        <w:rPr>
          <w:color w:val="0563C1"/>
          <w:u w:val="single"/>
        </w:rPr>
        <w:fldChar w:fldCharType="end"/>
      </w:r>
    </w:p>
    <w:p w14:paraId="0DFAA254">
      <w:pPr>
        <w:pStyle w:val="15"/>
        <w:numPr>
          <w:ilvl w:val="1"/>
          <w:numId w:val="1"/>
        </w:numPr>
        <w:spacing w:before="60" w:after="60" w:line="360" w:lineRule="auto"/>
        <w:ind w:left="720" w:hanging="259"/>
      </w:pPr>
      <w:r>
        <w:fldChar w:fldCharType="begin"/>
      </w:r>
      <w:r>
        <w:instrText xml:space="preserve"> HYPERLINK "#6-90-day-consumption-analysis-template" </w:instrText>
      </w:r>
      <w:r>
        <w:fldChar w:fldCharType="separate"/>
      </w:r>
      <w:r>
        <w:rPr>
          <w:color w:val="0563C1"/>
          <w:u w:val="single"/>
        </w:rPr>
        <w:t>6. 90-Day Consumption Analysis Template</w:t>
      </w:r>
      <w:r>
        <w:rPr>
          <w:color w:val="0563C1"/>
          <w:u w:val="single"/>
        </w:rPr>
        <w:fldChar w:fldCharType="end"/>
      </w:r>
    </w:p>
    <w:p w14:paraId="2D5098E6">
      <w:pPr>
        <w:pStyle w:val="15"/>
        <w:numPr>
          <w:ilvl w:val="1"/>
          <w:numId w:val="1"/>
        </w:numPr>
        <w:spacing w:before="60" w:after="60" w:line="360" w:lineRule="auto"/>
        <w:ind w:left="720" w:hanging="259"/>
      </w:pPr>
      <w:r>
        <w:fldChar w:fldCharType="begin"/>
      </w:r>
      <w:r>
        <w:instrText xml:space="preserve"> HYPERLINK "#document-cross-references" </w:instrText>
      </w:r>
      <w:r>
        <w:fldChar w:fldCharType="separate"/>
      </w:r>
      <w:r>
        <w:rPr>
          <w:color w:val="0563C1"/>
          <w:u w:val="single"/>
        </w:rPr>
        <w:t>Document Cross-References</w:t>
      </w:r>
      <w:r>
        <w:rPr>
          <w:color w:val="0563C1"/>
          <w:u w:val="single"/>
        </w:rPr>
        <w:fldChar w:fldCharType="end"/>
      </w:r>
    </w:p>
    <w:p w14:paraId="7EEBEA87">
      <w:pPr>
        <w:pStyle w:val="15"/>
        <w:numPr>
          <w:ilvl w:val="1"/>
          <w:numId w:val="1"/>
        </w:numPr>
        <w:spacing w:before="60" w:after="60" w:line="360" w:lineRule="auto"/>
        <w:ind w:left="720" w:hanging="259"/>
      </w:pPr>
      <w:r>
        <w:fldChar w:fldCharType="begin"/>
      </w:r>
      <w:r>
        <w:instrText xml:space="preserve"> HYPERLINK "#evidence-tier-summary" </w:instrText>
      </w:r>
      <w:r>
        <w:fldChar w:fldCharType="separate"/>
      </w:r>
      <w:r>
        <w:rPr>
          <w:color w:val="0563C1"/>
          <w:u w:val="single"/>
        </w:rPr>
        <w:t>Evidence Tier Summary</w:t>
      </w:r>
      <w:r>
        <w:rPr>
          <w:color w:val="0563C1"/>
          <w:u w:val="single"/>
        </w:rPr>
        <w:fldChar w:fldCharType="end"/>
      </w:r>
    </w:p>
    <w:p w14:paraId="5D299819">
      <w:pPr>
        <w:jc w:val="center"/>
      </w:pPr>
      <w:r>
        <w:rPr>
          <w:color w:val="CCCCCC"/>
        </w:rPr>
        <w:t>──────────────────────────────────────────────────</w:t>
      </w:r>
    </w:p>
    <w:p w14:paraId="5F9F2952">
      <w:pPr>
        <w:pStyle w:val="3"/>
        <w:spacing w:before="288" w:after="180" w:line="276" w:lineRule="auto"/>
      </w:pPr>
      <w:r>
        <w:rPr>
          <w:b/>
          <w:bCs/>
          <w:color w:val="2E74B5"/>
          <w:sz w:val="28"/>
          <w:szCs w:val="28"/>
        </w:rPr>
        <w:t>1. Battery Chemistry × Nominal Voltage × Full-Charge Voltage Reference</w:t>
      </w:r>
    </w:p>
    <w:p w14:paraId="651B8A45">
      <w:pPr>
        <w:spacing w:before="120" w:after="120" w:line="360" w:lineRule="auto"/>
      </w:pPr>
      <w:r>
        <w:t xml:space="preserve">Use this table when matching chargers to battery packs. </w:t>
      </w:r>
      <w:r>
        <w:rPr>
          <w:b/>
          <w:bCs/>
        </w:rPr>
        <w:t>Cross-chemistry charging is unsafe</w:t>
      </w:r>
      <w:r>
        <w:t xml:space="preserve"> (see blog §Common Misconception: IEC 61851-1 scope). The full-charge column is the target output setpoint for the charger; a lower-voltage charger will not reach the pack’s specified full-charge voltage.</w:t>
      </w:r>
    </w:p>
    <w:tbl>
      <w:tblPr>
        <w:tblStyle w:val="10"/>
        <w:tblW w:w="5000" w:type="pct"/>
        <w:tblInd w:w="0" w:type="dxa"/>
        <w:tbl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90"/>
        <w:gridCol w:w="1506"/>
        <w:gridCol w:w="1416"/>
        <w:gridCol w:w="1482"/>
        <w:gridCol w:w="1484"/>
        <w:gridCol w:w="1838"/>
      </w:tblGrid>
      <w:tr w14:paraId="7B7CBCCC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B5AEA69">
            <w:pPr>
              <w:jc w:val="left"/>
            </w:pPr>
            <w:r>
              <w:rPr>
                <w:b/>
                <w:bCs/>
                <w:color w:val="000000"/>
              </w:rPr>
              <w:t>Platform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AC2F57E">
            <w:pPr>
              <w:jc w:val="left"/>
            </w:pPr>
            <w:r>
              <w:rPr>
                <w:b/>
                <w:bCs/>
                <w:color w:val="000000"/>
              </w:rPr>
              <w:t>Chemistry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A389619">
            <w:pPr>
              <w:jc w:val="left"/>
            </w:pPr>
            <w:r>
              <w:rPr>
                <w:b/>
                <w:bCs/>
                <w:color w:val="000000"/>
              </w:rPr>
              <w:t>Cell Count (Series)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25D9DCD1">
            <w:pPr>
              <w:jc w:val="left"/>
            </w:pPr>
            <w:r>
              <w:rPr>
                <w:b/>
                <w:bCs/>
                <w:color w:val="000000"/>
              </w:rPr>
              <w:t>Nominal Voltage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81E8A47">
            <w:pPr>
              <w:jc w:val="left"/>
            </w:pPr>
            <w:r>
              <w:rPr>
                <w:b/>
                <w:bCs/>
                <w:color w:val="000000"/>
              </w:rPr>
              <w:t>Full-Charge Voltage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90EB2CE">
            <w:pPr>
              <w:jc w:val="left"/>
            </w:pPr>
            <w:r>
              <w:rPr>
                <w:b/>
                <w:bCs/>
                <w:color w:val="000000"/>
              </w:rPr>
              <w:t>Cell Chemistry Reference</w:t>
            </w:r>
          </w:p>
        </w:tc>
      </w:tr>
      <w:tr w14:paraId="0036E002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440583E">
            <w:pPr>
              <w:jc w:val="left"/>
            </w:pPr>
            <w:r>
              <w:t>48V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D50C2F1">
            <w:pPr>
              <w:jc w:val="left"/>
            </w:pPr>
            <w:r>
              <w:t>Li-ion (NMC)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0A6B7BF4">
            <w:pPr>
              <w:jc w:val="left"/>
            </w:pPr>
            <w:r>
              <w:t>13S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2A7730CF">
            <w:pPr>
              <w:jc w:val="left"/>
            </w:pPr>
            <w:r>
              <w:t>46.8 V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38EE2A4">
            <w:pPr>
              <w:jc w:val="left"/>
            </w:pPr>
            <w:r>
              <w:t>54.6 V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6EC7752">
            <w:pPr>
              <w:jc w:val="left"/>
            </w:pPr>
            <w:r>
              <w:t>4.2 V/cell max</w:t>
            </w:r>
          </w:p>
        </w:tc>
      </w:tr>
      <w:tr w14:paraId="7996D272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81BA792">
            <w:pPr>
              <w:jc w:val="left"/>
            </w:pPr>
            <w:r>
              <w:t>48V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CC0808E">
            <w:pPr>
              <w:jc w:val="left"/>
            </w:pPr>
            <w:r>
              <w:t>LiFePO4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6FF1C76">
            <w:pPr>
              <w:jc w:val="left"/>
            </w:pPr>
            <w:r>
              <w:t>16S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50DF920">
            <w:pPr>
              <w:jc w:val="left"/>
            </w:pPr>
            <w:r>
              <w:t>51.2 V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8D764CD">
            <w:pPr>
              <w:jc w:val="left"/>
            </w:pPr>
            <w:r>
              <w:t>58.4 V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EB1EB9C">
            <w:pPr>
              <w:jc w:val="left"/>
            </w:pPr>
            <w:r>
              <w:t>3.65 V/cell max</w:t>
            </w:r>
          </w:p>
        </w:tc>
      </w:tr>
      <w:tr w14:paraId="5B25E4E6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2CD14799">
            <w:pPr>
              <w:jc w:val="left"/>
            </w:pPr>
            <w:r>
              <w:t>60V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1E2B4798">
            <w:pPr>
              <w:jc w:val="left"/>
            </w:pPr>
            <w:r>
              <w:t>Li-ion (NMC)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162F647D">
            <w:pPr>
              <w:jc w:val="left"/>
            </w:pPr>
            <w:r>
              <w:t>16S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670E479">
            <w:pPr>
              <w:jc w:val="left"/>
            </w:pPr>
            <w:r>
              <w:t>57.6 V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16921B14">
            <w:pPr>
              <w:jc w:val="left"/>
            </w:pPr>
            <w:r>
              <w:t>67.2 V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0AF012C6">
            <w:pPr>
              <w:jc w:val="left"/>
            </w:pPr>
            <w:r>
              <w:t>4.2 V/cell max</w:t>
            </w:r>
          </w:p>
        </w:tc>
      </w:tr>
      <w:tr w14:paraId="305F246F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726615A">
            <w:pPr>
              <w:jc w:val="left"/>
            </w:pPr>
            <w:r>
              <w:t>60V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06A01709">
            <w:pPr>
              <w:jc w:val="left"/>
            </w:pPr>
            <w:r>
              <w:t>LiFePO4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25056696">
            <w:pPr>
              <w:jc w:val="left"/>
            </w:pPr>
            <w:r>
              <w:t>20S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46C1F76">
            <w:pPr>
              <w:jc w:val="left"/>
            </w:pPr>
            <w:r>
              <w:t>64.0 V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94C663C">
            <w:pPr>
              <w:jc w:val="left"/>
            </w:pPr>
            <w:r>
              <w:t>73.0 V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E0445AC">
            <w:pPr>
              <w:jc w:val="left"/>
            </w:pPr>
            <w:r>
              <w:t>3.65 V/cell max</w:t>
            </w:r>
          </w:p>
        </w:tc>
      </w:tr>
      <w:tr w14:paraId="5B926E93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0D2EF34B">
            <w:pPr>
              <w:jc w:val="left"/>
            </w:pPr>
            <w:r>
              <w:t>72V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723FFCF">
            <w:pPr>
              <w:jc w:val="left"/>
            </w:pPr>
            <w:r>
              <w:t>Li-ion (NMC)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E3557DD">
            <w:pPr>
              <w:jc w:val="left"/>
            </w:pPr>
            <w:r>
              <w:t>20S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6AD7CEC">
            <w:pPr>
              <w:jc w:val="left"/>
            </w:pPr>
            <w:r>
              <w:t>72.0 V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7604B40">
            <w:pPr>
              <w:jc w:val="left"/>
            </w:pPr>
            <w:r>
              <w:t>84.0 V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480E498">
            <w:pPr>
              <w:jc w:val="left"/>
            </w:pPr>
            <w:r>
              <w:t>4.2 V/cell max</w:t>
            </w:r>
          </w:p>
        </w:tc>
      </w:tr>
      <w:tr w14:paraId="35CD2190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13CB67F">
            <w:pPr>
              <w:jc w:val="left"/>
            </w:pPr>
            <w:r>
              <w:t>72V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1118FD21">
            <w:pPr>
              <w:jc w:val="left"/>
            </w:pPr>
            <w:r>
              <w:t>LiFePO4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3DE0482">
            <w:pPr>
              <w:jc w:val="left"/>
            </w:pPr>
            <w:r>
              <w:t>24S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9E7AB31">
            <w:pPr>
              <w:jc w:val="left"/>
            </w:pPr>
            <w:r>
              <w:t>76.8 V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1F58D40">
            <w:pPr>
              <w:jc w:val="left"/>
            </w:pPr>
            <w:r>
              <w:t>87.6 V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D8C8099">
            <w:pPr>
              <w:jc w:val="left"/>
            </w:pPr>
            <w:r>
              <w:t>3.65 V/cell max</w:t>
            </w:r>
          </w:p>
        </w:tc>
      </w:tr>
    </w:tbl>
    <w:p w14:paraId="3B554119">
      <w:pPr>
        <w:spacing w:before="120" w:after="120" w:line="360" w:lineRule="auto"/>
      </w:pPr>
      <w:r>
        <w:rPr>
          <w:b/>
          <w:bCs/>
        </w:rPr>
        <w:t>Notes:</w:t>
      </w:r>
    </w:p>
    <w:p w14:paraId="32209E3A">
      <w:pPr>
        <w:pStyle w:val="15"/>
        <w:numPr>
          <w:ilvl w:val="0"/>
          <w:numId w:val="1"/>
        </w:numPr>
        <w:spacing w:before="60" w:after="60" w:line="360" w:lineRule="auto"/>
        <w:ind w:left="360" w:hanging="259"/>
      </w:pPr>
      <w:r>
        <w:t>Nominal voltage is a nameplate convention, not an operating setpoint. SOC varies with load, temperature, and cell drift.</w:t>
      </w:r>
    </w:p>
    <w:p w14:paraId="1B4635CF">
      <w:pPr>
        <w:pStyle w:val="15"/>
        <w:numPr>
          <w:ilvl w:val="0"/>
          <w:numId w:val="1"/>
        </w:numPr>
        <w:spacing w:before="60" w:after="60" w:line="360" w:lineRule="auto"/>
        <w:ind w:left="360" w:hanging="259"/>
      </w:pPr>
      <w:r>
        <w:t>LiFePO4 packs have a flatter discharge curve than NMC — the same SOC% corresponds to a narrower voltage band.</w:t>
      </w:r>
    </w:p>
    <w:p w14:paraId="7BA2CF0A">
      <w:pPr>
        <w:pStyle w:val="15"/>
        <w:numPr>
          <w:ilvl w:val="0"/>
          <w:numId w:val="1"/>
        </w:numPr>
        <w:spacing w:before="60" w:after="60" w:line="360" w:lineRule="auto"/>
        <w:ind w:left="360" w:hanging="259"/>
      </w:pPr>
      <w:r>
        <w:t xml:space="preserve">A 48V Li-ion charger outputs </w:t>
      </w:r>
      <w:r>
        <w:rPr>
          <w:b/>
          <w:bCs/>
        </w:rPr>
        <w:t>54.6 V</w:t>
      </w:r>
      <w:r>
        <w:t xml:space="preserve">; a 48V LiFePO4 charger outputs </w:t>
      </w:r>
      <w:r>
        <w:rPr>
          <w:b/>
          <w:bCs/>
        </w:rPr>
        <w:t>58.4 V</w:t>
      </w:r>
      <w:r>
        <w:t>. They are NOT interchangeable.</w:t>
      </w:r>
    </w:p>
    <w:p w14:paraId="588230A0">
      <w:pPr>
        <w:spacing w:before="120" w:after="120" w:line="360" w:lineRule="auto"/>
      </w:pPr>
      <w:r>
        <w:rPr>
          <w:b/>
          <w:bCs/>
        </w:rPr>
        <w:t>Source:</w:t>
      </w:r>
      <w:r>
        <w:t xml:space="preserve"> Tier 3 engineering reference — standard lithium-cell voltage values. Cross-check against your specific cell datasheet before specifying a charger.</w:t>
      </w:r>
    </w:p>
    <w:p w14:paraId="017B6C31">
      <w:pPr>
        <w:jc w:val="center"/>
      </w:pPr>
      <w:r>
        <w:rPr>
          <w:color w:val="CCCCCC"/>
        </w:rPr>
        <w:t>──────────────────────────────────────────────────</w:t>
      </w:r>
    </w:p>
    <w:p w14:paraId="65C598B6">
      <w:pPr>
        <w:pStyle w:val="3"/>
        <w:spacing w:before="288" w:after="180" w:line="276" w:lineRule="auto"/>
      </w:pPr>
      <w:r>
        <w:rPr>
          <w:b/>
          <w:bCs/>
          <w:color w:val="2E74B5"/>
          <w:sz w:val="28"/>
          <w:szCs w:val="28"/>
        </w:rPr>
        <w:t>2. IP Rating × Climate Scenario Recommendation</w:t>
      </w:r>
    </w:p>
    <w:tbl>
      <w:tblPr>
        <w:tblStyle w:val="10"/>
        <w:tblW w:w="5000" w:type="pct"/>
        <w:tblInd w:w="0" w:type="dxa"/>
        <w:tbl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45"/>
        <w:gridCol w:w="1724"/>
        <w:gridCol w:w="2290"/>
        <w:gridCol w:w="2106"/>
        <w:gridCol w:w="1351"/>
      </w:tblGrid>
      <w:tr w14:paraId="56EF2D97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</w:tblPrEx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3C9501D">
            <w:pPr>
              <w:jc w:val="left"/>
            </w:pPr>
            <w:r>
              <w:rPr>
                <w:b/>
                <w:bCs/>
                <w:color w:val="000000"/>
              </w:rPr>
              <w:t>Sub-Assembly IP Rating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7F401CE">
            <w:pPr>
              <w:jc w:val="left"/>
            </w:pPr>
            <w:r>
              <w:rPr>
                <w:b/>
                <w:bCs/>
                <w:color w:val="000000"/>
              </w:rPr>
              <w:t>What it protects against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36796D8">
            <w:pPr>
              <w:jc w:val="left"/>
            </w:pPr>
            <w:r>
              <w:rPr>
                <w:b/>
                <w:bCs/>
                <w:color w:val="000000"/>
              </w:rPr>
              <w:t>Recommended climate scenario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7A0279A">
            <w:pPr>
              <w:jc w:val="left"/>
            </w:pPr>
            <w:r>
              <w:rPr>
                <w:b/>
                <w:bCs/>
                <w:color w:val="000000"/>
              </w:rPr>
              <w:t>Typical use cases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3B300F8">
            <w:pPr>
              <w:jc w:val="left"/>
            </w:pPr>
            <w:r>
              <w:rPr>
                <w:b/>
                <w:bCs/>
                <w:color w:val="000000"/>
              </w:rPr>
              <w:t>Cost impact</w:t>
            </w:r>
          </w:p>
        </w:tc>
      </w:tr>
      <w:tr w14:paraId="77585699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D050554">
            <w:pPr>
              <w:jc w:val="left"/>
            </w:pPr>
            <w:r>
              <w:rPr>
                <w:b/>
                <w:bCs/>
              </w:rPr>
              <w:t>IP54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BF52EBC">
            <w:pPr>
              <w:jc w:val="left"/>
            </w:pPr>
            <w:r>
              <w:t>Dust-protected (limited ingress) + splashing water from any direction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3CFB408">
            <w:pPr>
              <w:jc w:val="left"/>
            </w:pPr>
            <w:r>
              <w:t>Temperate urban, dry inland, low-exposure use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10735A79">
            <w:pPr>
              <w:jc w:val="left"/>
            </w:pPr>
            <w:r>
              <w:t>Urban commuter e-scooters in mild climates; indoor-stored fleets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7FDDA3F">
            <w:pPr>
              <w:jc w:val="left"/>
            </w:pPr>
            <w:r>
              <w:t>Baseline cost</w:t>
            </w:r>
          </w:p>
        </w:tc>
      </w:tr>
      <w:tr w14:paraId="39F265F6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CF5A944">
            <w:pPr>
              <w:jc w:val="left"/>
            </w:pPr>
            <w:r>
              <w:rPr>
                <w:b/>
                <w:bCs/>
              </w:rPr>
              <w:t>IP65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A903A9F">
            <w:pPr>
              <w:jc w:val="left"/>
            </w:pPr>
            <w:r>
              <w:t>Dust-tight + protected against low-pressure water jets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24FCBF92">
            <w:pPr>
              <w:jc w:val="left"/>
            </w:pPr>
            <w:r>
              <w:t>Tropical humid, monsoon-prone, coastal with light salt spray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CE0B7E1">
            <w:pPr>
              <w:jc w:val="left"/>
            </w:pPr>
            <w:r>
              <w:t>Most tropical markets; mid-range e-mopeds; coastal cities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464A4D5">
            <w:pPr>
              <w:jc w:val="left"/>
            </w:pPr>
            <w:r>
              <w:t>+10–20% vs IP54</w:t>
            </w:r>
          </w:p>
        </w:tc>
      </w:tr>
      <w:tr w14:paraId="4C333D5B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A7A5A19">
            <w:pPr>
              <w:jc w:val="left"/>
            </w:pPr>
            <w:r>
              <w:rPr>
                <w:b/>
                <w:bCs/>
              </w:rPr>
              <w:t>IP67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04662248">
            <w:pPr>
              <w:jc w:val="left"/>
            </w:pPr>
            <w:r>
              <w:t>Dust-tight + protected against temporary immersion (1 m / 30 min)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291EA74D">
            <w:pPr>
              <w:jc w:val="left"/>
            </w:pPr>
            <w:r>
              <w:t>Heavy monsoon, frequent water crossings, dusty unpaved roads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225B0C0C">
            <w:pPr>
              <w:jc w:val="left"/>
            </w:pPr>
            <w:r>
              <w:t>Off-road, Boda markets (Tanzania-style), flood-prone areas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638C45F">
            <w:pPr>
              <w:jc w:val="left"/>
            </w:pPr>
            <w:r>
              <w:t>+25–40% vs IP54</w:t>
            </w:r>
          </w:p>
        </w:tc>
      </w:tr>
      <w:tr w14:paraId="4AB399C5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202DE8C">
            <w:pPr>
              <w:jc w:val="left"/>
            </w:pPr>
            <w:r>
              <w:rPr>
                <w:b/>
                <w:bCs/>
              </w:rPr>
              <w:t>IP67 + conformal coating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57980B3">
            <w:pPr>
              <w:jc w:val="left"/>
            </w:pPr>
            <w:r>
              <w:t>As IP67 + corrosion-resistant PCB coating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C0AA420">
            <w:pPr>
              <w:jc w:val="left"/>
            </w:pPr>
            <w:r>
              <w:t>Coastal salt spray, industrial pollution, high humidity + temperature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32C7682">
            <w:pPr>
              <w:jc w:val="left"/>
            </w:pPr>
            <w:r>
              <w:t>Marine/salt-spray environments; on-request Zuboo SKU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024F2B4C">
            <w:pPr>
              <w:jc w:val="left"/>
            </w:pPr>
            <w:r>
              <w:t>+35–50% vs IP54</w:t>
            </w:r>
          </w:p>
        </w:tc>
      </w:tr>
    </w:tbl>
    <w:p w14:paraId="23D0C818">
      <w:pPr>
        <w:spacing w:before="120" w:after="120" w:line="360" w:lineRule="auto"/>
      </w:pPr>
      <w:r>
        <w:rPr>
          <w:b/>
          <w:bCs/>
        </w:rPr>
        <w:t>Notes:</w:t>
      </w:r>
    </w:p>
    <w:p w14:paraId="56D27304">
      <w:pPr>
        <w:pStyle w:val="15"/>
        <w:numPr>
          <w:ilvl w:val="0"/>
          <w:numId w:val="1"/>
        </w:numPr>
        <w:spacing w:before="60" w:after="60" w:line="360" w:lineRule="auto"/>
        <w:ind w:left="360" w:hanging="259"/>
      </w:pPr>
      <w:r>
        <w:t>IP ratings describe the sub-assembly (e.g., controller housing), not the whole vehicle.</w:t>
      </w:r>
    </w:p>
    <w:p w14:paraId="27565777">
      <w:pPr>
        <w:pStyle w:val="15"/>
        <w:numPr>
          <w:ilvl w:val="0"/>
          <w:numId w:val="1"/>
        </w:numPr>
        <w:spacing w:before="60" w:after="60" w:line="360" w:lineRule="auto"/>
        <w:ind w:left="360" w:hanging="259"/>
      </w:pPr>
      <w:r>
        <w:t>“Splash-resistant” ≠ “rain-resistant for sustained rides” — for markets with daily heavy rain, lean toward IP65 minimum.</w:t>
      </w:r>
    </w:p>
    <w:p w14:paraId="3B4916AF">
      <w:pPr>
        <w:pStyle w:val="15"/>
        <w:numPr>
          <w:ilvl w:val="0"/>
          <w:numId w:val="1"/>
        </w:numPr>
        <w:spacing w:before="60" w:after="60" w:line="360" w:lineRule="auto"/>
        <w:ind w:left="360" w:hanging="259"/>
      </w:pPr>
      <w:r>
        <w:t>Conformal coating is not a substitute for IP rating; it addresses corrosion, not ingress.</w:t>
      </w:r>
    </w:p>
    <w:p w14:paraId="36B5A29C">
      <w:pPr>
        <w:spacing w:before="120" w:after="120" w:line="360" w:lineRule="auto"/>
      </w:pPr>
      <w:r>
        <w:rPr>
          <w:b/>
          <w:bCs/>
        </w:rPr>
        <w:t>Tier:</w:t>
      </w:r>
      <w:r>
        <w:t xml:space="preserve"> Tier 3 engineering reference. Cross-check the specific sub-assembly datasheet for the SKU you stock.</w:t>
      </w:r>
    </w:p>
    <w:p w14:paraId="55C9CFFC">
      <w:pPr>
        <w:jc w:val="center"/>
      </w:pPr>
      <w:r>
        <w:rPr>
          <w:color w:val="CCCCCC"/>
        </w:rPr>
        <w:t>──────────────────────────────────────────────────</w:t>
      </w:r>
    </w:p>
    <w:p w14:paraId="7AB15529">
      <w:pPr>
        <w:pStyle w:val="3"/>
        <w:spacing w:before="288" w:after="180" w:line="276" w:lineRule="auto"/>
      </w:pPr>
      <w:r>
        <w:rPr>
          <w:b/>
          <w:bCs/>
          <w:color w:val="2E74B5"/>
          <w:sz w:val="28"/>
          <w:szCs w:val="28"/>
        </w:rPr>
        <w:t>3. Three Motor-Controller Configurations</w:t>
      </w:r>
    </w:p>
    <w:p w14:paraId="46C4B086">
      <w:pPr>
        <w:spacing w:before="120" w:after="120" w:line="360" w:lineRule="auto"/>
      </w:pPr>
      <w:r>
        <w:t xml:space="preserve">These three configurations are frequently conflated by buyers. They are </w:t>
      </w:r>
      <w:r>
        <w:rPr>
          <w:b/>
          <w:bCs/>
        </w:rPr>
        <w:t>NOT interchangeable SKUs</w:t>
      </w:r>
      <w:r>
        <w:t>, even at the same nominal voltage.</w:t>
      </w:r>
    </w:p>
    <w:p w14:paraId="6E8AC726">
      <w:pPr>
        <w:spacing w:before="120" w:after="120" w:line="360" w:lineRule="auto"/>
      </w:pPr>
      <w:r>
        <w:drawing>
          <wp:inline distT="0" distB="0" distL="0" distR="0">
            <wp:extent cx="5715000" cy="24765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10"/>
        <w:tblW w:w="5000" w:type="pct"/>
        <w:tblInd w:w="0" w:type="dxa"/>
        <w:tbl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507"/>
        <w:gridCol w:w="2403"/>
        <w:gridCol w:w="2189"/>
        <w:gridCol w:w="1917"/>
      </w:tblGrid>
      <w:tr w14:paraId="158122A7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363B749">
            <w:pPr>
              <w:jc w:val="left"/>
            </w:pPr>
            <w:r>
              <w:rPr>
                <w:b/>
                <w:bCs/>
                <w:color w:val="000000"/>
              </w:rPr>
              <w:t>Configuration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4BCA8EB">
            <w:pPr>
              <w:jc w:val="left"/>
            </w:pPr>
            <w:r>
              <w:rPr>
                <w:b/>
                <w:bCs/>
                <w:color w:val="000000"/>
              </w:rPr>
              <w:t>SKU family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E1EBF70">
            <w:pPr>
              <w:jc w:val="left"/>
            </w:pPr>
            <w:r>
              <w:rPr>
                <w:b/>
                <w:bCs/>
                <w:color w:val="000000"/>
              </w:rPr>
              <w:t>Field-replaceable as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0B2F7A49">
            <w:pPr>
              <w:jc w:val="left"/>
            </w:pPr>
            <w:r>
              <w:rPr>
                <w:b/>
                <w:bCs/>
                <w:color w:val="000000"/>
              </w:rPr>
              <w:t>Typical use</w:t>
            </w:r>
          </w:p>
        </w:tc>
      </w:tr>
      <w:tr w14:paraId="7BBD3BDF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D35C2C4">
            <w:pPr>
              <w:jc w:val="left"/>
            </w:pPr>
            <w:r>
              <w:rPr>
                <w:b/>
                <w:bCs/>
              </w:rPr>
              <w:t>(a) Hub motor + external controller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97ABBF2">
            <w:pPr>
              <w:jc w:val="left"/>
            </w:pPr>
            <w:r>
              <w:t>Motor SKU ≠ Controller SKU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33E7DF5">
            <w:pPr>
              <w:jc w:val="left"/>
            </w:pPr>
            <w:r>
              <w:t>Motor and controller replaced individually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0568B1A8">
            <w:pPr>
              <w:jc w:val="left"/>
            </w:pPr>
            <w:r>
              <w:t>Most e-scooters, e-mopeds</w:t>
            </w:r>
          </w:p>
        </w:tc>
      </w:tr>
      <w:tr w14:paraId="0157537E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008D9843">
            <w:pPr>
              <w:jc w:val="left"/>
            </w:pPr>
            <w:r>
              <w:rPr>
                <w:b/>
                <w:bCs/>
              </w:rPr>
              <w:t>(b) Hub motor alone (no bundled controller)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A522A0E">
            <w:pPr>
              <w:jc w:val="left"/>
            </w:pPr>
            <w:r>
              <w:t>Motor SKU only; controller is integrator’s choice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203D577">
            <w:pPr>
              <w:jc w:val="left"/>
            </w:pPr>
            <w:r>
              <w:t>Motor only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1AE9941">
            <w:pPr>
              <w:jc w:val="left"/>
            </w:pPr>
            <w:r>
              <w:t>OEM/ODM integration projects</w:t>
            </w:r>
          </w:p>
        </w:tc>
      </w:tr>
      <w:tr w14:paraId="31FD386F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F7E5C25">
            <w:pPr>
              <w:jc w:val="left"/>
            </w:pPr>
            <w:r>
              <w:rPr>
                <w:b/>
                <w:bCs/>
              </w:rPr>
              <w:t>© Integrated drive unit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2598730">
            <w:pPr>
              <w:jc w:val="left"/>
            </w:pPr>
            <w:r>
              <w:t>ONE SKU for the whole unit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912D8EB">
            <w:pPr>
              <w:jc w:val="left"/>
            </w:pPr>
            <w:r>
              <w:t>Whole unit (not field-serviceable internally)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E7DB90C">
            <w:pPr>
              <w:jc w:val="left"/>
            </w:pPr>
            <w:r>
              <w:t>Off-road, tropical, water-exposed</w:t>
            </w:r>
          </w:p>
        </w:tc>
      </w:tr>
    </w:tbl>
    <w:p w14:paraId="43250C67">
      <w:pPr>
        <w:spacing w:before="120" w:after="120" w:line="360" w:lineRule="auto"/>
      </w:pPr>
      <w:r>
        <w:rPr>
          <w:b/>
          <w:bCs/>
        </w:rPr>
        <w:t>Common dealer error:</w:t>
      </w:r>
      <w:r>
        <w:t xml:space="preserve"> ordering a “BLDC motor” SKU and assuming it includes a controller. The motor’s datasheet must be checked against the controller’s datasheet on </w:t>
      </w:r>
      <w:r>
        <w:rPr>
          <w:b/>
          <w:bCs/>
        </w:rPr>
        <w:t>voltage, phase-current limit, Hall-sensor arrangement, and connector family</w:t>
      </w:r>
      <w:r>
        <w:t xml:space="preserve"> (see blog §Compatibility and Matching).</w:t>
      </w:r>
    </w:p>
    <w:p w14:paraId="696C88A9">
      <w:pPr>
        <w:spacing w:before="120" w:after="120" w:line="360" w:lineRule="auto"/>
      </w:pPr>
      <w:r>
        <w:rPr>
          <w:b/>
          <w:bCs/>
        </w:rPr>
        <w:t>Source:</w:t>
      </w:r>
      <w:r>
        <w:t xml:space="preserve"> Tier 4 (Zuboo first-party) — model-specific SKU tracking across 48V / 60V / 72V platforms.</w:t>
      </w:r>
    </w:p>
    <w:p w14:paraId="5D866144">
      <w:pPr>
        <w:jc w:val="center"/>
      </w:pPr>
      <w:r>
        <w:rPr>
          <w:color w:val="CCCCCC"/>
        </w:rPr>
        <w:t>──────────────────────────────────────────────────</w:t>
      </w:r>
    </w:p>
    <w:p w14:paraId="1FE18E7D">
      <w:pPr>
        <w:pStyle w:val="3"/>
        <w:spacing w:before="288" w:after="180" w:line="276" w:lineRule="auto"/>
      </w:pPr>
      <w:r>
        <w:rPr>
          <w:b/>
          <w:bCs/>
          <w:color w:val="2E74B5"/>
          <w:sz w:val="28"/>
          <w:szCs w:val="28"/>
        </w:rPr>
        <w:t>4. Hall-Sensor Pinout Variability Across Manufacturers</w:t>
      </w:r>
    </w:p>
    <w:p w14:paraId="12B220E3">
      <w:pPr>
        <w:spacing w:before="120" w:after="120" w:line="360" w:lineRule="auto"/>
      </w:pPr>
      <w:r>
        <w:rPr>
          <w:b/>
          <w:bCs/>
        </w:rPr>
        <w:t>Wire color is not a reliable cross-manufacturer signal.</w:t>
      </w:r>
      <w:r>
        <w:t xml:space="preserve"> Pin assignments differ between vendors for the same functional signal (Hall A / Hall B / Hall C / Vcc / GND). Cross-check by </w:t>
      </w:r>
      <w:r>
        <w:rPr>
          <w:b/>
          <w:bCs/>
        </w:rPr>
        <w:t>pin number</w:t>
      </w:r>
      <w:r>
        <w:t xml:space="preserve"> in the controller datasheet before installing a replacement motor.</w:t>
      </w:r>
    </w:p>
    <w:p w14:paraId="0D8D5C57">
      <w:pPr>
        <w:spacing w:before="120" w:after="120" w:line="360" w:lineRule="auto"/>
      </w:pPr>
      <w:r>
        <w:drawing>
          <wp:inline distT="0" distB="0" distL="0" distR="0">
            <wp:extent cx="5715000" cy="248602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21092">
      <w:pPr>
        <w:spacing w:before="120" w:after="120" w:line="360" w:lineRule="auto"/>
      </w:pPr>
      <w:r>
        <w:rPr>
          <w:b/>
          <w:bCs/>
        </w:rPr>
        <w:t>What varies between manufacturers:</w:t>
      </w:r>
    </w:p>
    <w:p w14:paraId="2D6A7750">
      <w:pPr>
        <w:pStyle w:val="15"/>
        <w:numPr>
          <w:ilvl w:val="0"/>
          <w:numId w:val="1"/>
        </w:numPr>
        <w:spacing w:before="60" w:after="60" w:line="360" w:lineRule="auto"/>
        <w:ind w:left="360" w:hanging="259"/>
      </w:pPr>
      <w:r>
        <w:t>Pin order (Hall A/B/C can be in any sequence)</w:t>
      </w:r>
    </w:p>
    <w:p w14:paraId="4F3ADBDC">
      <w:pPr>
        <w:pStyle w:val="15"/>
        <w:numPr>
          <w:ilvl w:val="0"/>
          <w:numId w:val="1"/>
        </w:numPr>
        <w:spacing w:before="60" w:after="60" w:line="360" w:lineRule="auto"/>
        <w:ind w:left="360" w:hanging="259"/>
      </w:pPr>
      <w:r>
        <w:t>Wire colors (no industry standard)</w:t>
      </w:r>
    </w:p>
    <w:p w14:paraId="5E41E928">
      <w:pPr>
        <w:pStyle w:val="15"/>
        <w:numPr>
          <w:ilvl w:val="0"/>
          <w:numId w:val="1"/>
        </w:numPr>
        <w:spacing w:before="60" w:after="60" w:line="360" w:lineRule="auto"/>
        <w:ind w:left="360" w:hanging="259"/>
      </w:pPr>
      <w:r>
        <w:t>Pin count (5-pin vs 6-pin; 6th pin often used for motor temperature sensor)</w:t>
      </w:r>
    </w:p>
    <w:p w14:paraId="0A7C1047">
      <w:pPr>
        <w:pStyle w:val="15"/>
        <w:numPr>
          <w:ilvl w:val="0"/>
          <w:numId w:val="1"/>
        </w:numPr>
        <w:spacing w:before="60" w:after="60" w:line="360" w:lineRule="auto"/>
        <w:ind w:left="360" w:hanging="259"/>
      </w:pPr>
      <w:r>
        <w:t>Harness length and connector gender</w:t>
      </w:r>
    </w:p>
    <w:p w14:paraId="0CA22342">
      <w:pPr>
        <w:spacing w:before="120" w:after="120" w:line="360" w:lineRule="auto"/>
      </w:pPr>
      <w:r>
        <w:rPr>
          <w:b/>
          <w:bCs/>
        </w:rPr>
        <w:t>What does NOT vary:</w:t>
      </w:r>
    </w:p>
    <w:p w14:paraId="217F2071">
      <w:pPr>
        <w:pStyle w:val="15"/>
        <w:numPr>
          <w:ilvl w:val="0"/>
          <w:numId w:val="1"/>
        </w:numPr>
        <w:spacing w:before="60" w:after="60" w:line="360" w:lineRule="auto"/>
        <w:ind w:left="360" w:hanging="259"/>
      </w:pPr>
      <w:r>
        <w:t>Functional signals are always Vcc, GND, Hall A, Hall B, Hall C (± temperature)</w:t>
      </w:r>
    </w:p>
    <w:p w14:paraId="1E6A9F12">
      <w:pPr>
        <w:pStyle w:val="15"/>
        <w:numPr>
          <w:ilvl w:val="0"/>
          <w:numId w:val="1"/>
        </w:numPr>
        <w:spacing w:before="60" w:after="60" w:line="360" w:lineRule="auto"/>
        <w:ind w:left="360" w:hanging="259"/>
      </w:pPr>
      <w:r>
        <w:t>5 V typical logic level (verify on datasheet)</w:t>
      </w:r>
    </w:p>
    <w:p w14:paraId="7965D11D">
      <w:pPr>
        <w:spacing w:before="120" w:after="120" w:line="360" w:lineRule="auto"/>
      </w:pPr>
      <w:r>
        <w:rPr>
          <w:b/>
          <w:bCs/>
        </w:rPr>
        <w:t>Tier:</w:t>
      </w:r>
      <w:r>
        <w:t xml:space="preserve"> Tier 3 engineering reference. The diagram is illustrative; consult the specific motor datasheet for the SKU you stock.</w:t>
      </w:r>
    </w:p>
    <w:p w14:paraId="2FA4C88D">
      <w:pPr>
        <w:jc w:val="center"/>
      </w:pPr>
      <w:r>
        <w:rPr>
          <w:color w:val="CCCCCC"/>
        </w:rPr>
        <w:t>──────────────────────────────────────────────────</w:t>
      </w:r>
    </w:p>
    <w:p w14:paraId="06969209">
      <w:pPr>
        <w:pStyle w:val="3"/>
        <w:spacing w:before="288" w:after="180" w:line="276" w:lineRule="auto"/>
      </w:pPr>
      <w:r>
        <w:rPr>
          <w:b/>
          <w:bCs/>
          <w:color w:val="2E74B5"/>
          <w:sz w:val="28"/>
          <w:szCs w:val="28"/>
        </w:rPr>
        <w:t>5. Decision Framework Flowchart</w:t>
      </w:r>
    </w:p>
    <w:p w14:paraId="409328EA">
      <w:pPr>
        <w:spacing w:before="120" w:after="120" w:line="360" w:lineRule="auto"/>
      </w:pPr>
      <w:r>
        <w:t>Companion visual to blog §Decision Framework.</w:t>
      </w:r>
    </w:p>
    <w:p w14:paraId="45930299">
      <w:pPr>
        <w:spacing w:before="120" w:after="120" w:line="360" w:lineRule="auto"/>
      </w:pPr>
      <w:r>
        <w:drawing>
          <wp:inline distT="0" distB="0" distL="0" distR="0">
            <wp:extent cx="5715000" cy="482917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4A33A">
      <w:pPr>
        <w:spacing w:before="120" w:after="120" w:line="360" w:lineRule="auto"/>
      </w:pPr>
      <w:r>
        <w:rPr>
          <w:b/>
          <w:bCs/>
        </w:rPr>
        <w:t>How to read:</w:t>
      </w:r>
    </w:p>
    <w:p w14:paraId="494D9489">
      <w:pPr>
        <w:pStyle w:val="15"/>
        <w:numPr>
          <w:ilvl w:val="0"/>
          <w:numId w:val="1"/>
        </w:numPr>
        <w:spacing w:before="60" w:after="60" w:line="360" w:lineRule="auto"/>
        <w:ind w:left="360" w:hanging="259"/>
      </w:pPr>
      <w:r>
        <w:t>Central column: the 5-step process every dealer follows</w:t>
      </w:r>
    </w:p>
    <w:p w14:paraId="724C5181">
      <w:pPr>
        <w:pStyle w:val="15"/>
        <w:numPr>
          <w:ilvl w:val="0"/>
          <w:numId w:val="1"/>
        </w:numPr>
        <w:spacing w:before="60" w:after="60" w:line="360" w:lineRule="auto"/>
        <w:ind w:left="360" w:hanging="259"/>
      </w:pPr>
      <w:r>
        <w:t>Right column: three conditional recommendation branches (small distributor / large importer / multi-platform)</w:t>
      </w:r>
    </w:p>
    <w:p w14:paraId="48036A13">
      <w:pPr>
        <w:pStyle w:val="15"/>
        <w:numPr>
          <w:ilvl w:val="0"/>
          <w:numId w:val="1"/>
        </w:numPr>
        <w:spacing w:before="60" w:after="60" w:line="360" w:lineRule="auto"/>
        <w:ind w:left="360" w:hanging="259"/>
      </w:pPr>
      <w:r>
        <w:t>Left box: output (stocked catalog with ROP-managed A/X items, B/Y on review, C/Z on-demand)</w:t>
      </w:r>
    </w:p>
    <w:p w14:paraId="57EDBFA6">
      <w:pPr>
        <w:pStyle w:val="15"/>
        <w:numPr>
          <w:ilvl w:val="0"/>
          <w:numId w:val="1"/>
        </w:numPr>
        <w:spacing w:before="60" w:after="60" w:line="360" w:lineRule="auto"/>
        <w:ind w:left="360" w:hanging="259"/>
      </w:pPr>
      <w:r>
        <w:t>Bottom loop: after 90 days, re-run ABC/XYZ with real consumption and adjust ROP</w:t>
      </w:r>
    </w:p>
    <w:p w14:paraId="3758609F">
      <w:pPr>
        <w:spacing w:before="120" w:after="120" w:line="360" w:lineRule="auto"/>
      </w:pPr>
      <w:r>
        <w:rPr>
          <w:b/>
          <w:bCs/>
        </w:rPr>
        <w:t>The dashed arrow at the bottom indicates the feedback loop:</w:t>
      </w:r>
      <w:r>
        <w:t xml:space="preserve"> inventory planning is iterative. The 90-day consumption cycle (blog §Inventory Planning) is the minimum data window before refining ROP targets.</w:t>
      </w:r>
    </w:p>
    <w:p w14:paraId="7204C958">
      <w:pPr>
        <w:spacing w:before="120" w:after="120" w:line="360" w:lineRule="auto"/>
      </w:pPr>
      <w:r>
        <w:rPr>
          <w:b/>
          <w:bCs/>
        </w:rPr>
        <w:t>Tier:</w:t>
      </w:r>
      <w:r>
        <w:t xml:space="preserve"> Tier 3 engineering framework. No Tier 2 statistics are claimed.</w:t>
      </w:r>
    </w:p>
    <w:p w14:paraId="4B8B6CD2">
      <w:pPr>
        <w:jc w:val="center"/>
      </w:pPr>
      <w:r>
        <w:rPr>
          <w:color w:val="CCCCCC"/>
        </w:rPr>
        <w:t>──────────────────────────────────────────────────</w:t>
      </w:r>
    </w:p>
    <w:p w14:paraId="29604B11">
      <w:pPr>
        <w:pStyle w:val="3"/>
        <w:spacing w:before="288" w:after="180" w:line="276" w:lineRule="auto"/>
      </w:pPr>
      <w:r>
        <w:rPr>
          <w:b/>
          <w:bCs/>
          <w:color w:val="2E74B5"/>
          <w:sz w:val="28"/>
          <w:szCs w:val="28"/>
        </w:rPr>
        <w:t>6. 90-Day Consumption Analysis Template</w:t>
      </w:r>
    </w:p>
    <w:p w14:paraId="0360EAE2">
      <w:pPr>
        <w:spacing w:before="120" w:after="120" w:line="360" w:lineRule="auto"/>
      </w:pPr>
      <w:r>
        <w:t xml:space="preserve">A blank Excel template for running the ROP and ABC/XYZ analysis described in blog §Inventory Planning. </w:t>
      </w:r>
      <w:r>
        <w:rPr>
          <w:b/>
          <w:bCs/>
        </w:rPr>
        <w:t xml:space="preserve">Download: </w:t>
      </w:r>
      <w:r>
        <w:rPr>
          <w:b/>
          <w:bCs/>
          <w:color w:val="0563C1"/>
          <w:u w:val="none"/>
        </w:rPr>
        <w:fldChar w:fldCharType="begin"/>
      </w:r>
      <w:r>
        <w:rPr>
          <w:b/>
          <w:bCs/>
          <w:color w:val="0563C1"/>
          <w:u w:val="none"/>
        </w:rPr>
        <w:instrText xml:space="preserve"> HYPERLINK "https://zubootech.com/wp-content/uploads/2026/09/consumption_template_90day.xlsx" </w:instrText>
      </w:r>
      <w:r>
        <w:rPr>
          <w:b/>
          <w:bCs/>
          <w:color w:val="0563C1"/>
          <w:u w:val="none"/>
        </w:rPr>
        <w:fldChar w:fldCharType="separate"/>
      </w:r>
      <w:r>
        <w:rPr>
          <w:rStyle w:val="12"/>
          <w:b/>
          <w:bCs/>
        </w:rPr>
        <w:t>consumption_template_90day.xlsx</w:t>
      </w:r>
      <w:r>
        <w:rPr>
          <w:b/>
          <w:bCs/>
          <w:color w:val="0563C1"/>
          <w:u w:val="none"/>
        </w:rPr>
        <w:fldChar w:fldCharType="end"/>
      </w:r>
    </w:p>
    <w:p w14:paraId="377835C7">
      <w:pPr>
        <w:spacing w:before="120" w:after="120" w:line="360" w:lineRule="auto"/>
      </w:pPr>
      <w:r>
        <w:rPr>
          <w:b/>
          <w:bCs/>
        </w:rPr>
        <w:t>Sheets:</w:t>
      </w:r>
    </w:p>
    <w:tbl>
      <w:tblPr>
        <w:tblStyle w:val="10"/>
        <w:tblW w:w="5000" w:type="pct"/>
        <w:tblInd w:w="0" w:type="dxa"/>
        <w:tbl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15"/>
        <w:gridCol w:w="7701"/>
      </w:tblGrid>
      <w:tr w14:paraId="61DFF678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A694288">
            <w:pPr>
              <w:jc w:val="left"/>
            </w:pPr>
            <w:r>
              <w:rPr>
                <w:b/>
                <w:bCs/>
                <w:color w:val="000000"/>
              </w:rPr>
              <w:t>Sheet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134D36CA">
            <w:pPr>
              <w:jc w:val="left"/>
            </w:pPr>
            <w:r>
              <w:rPr>
                <w:b/>
                <w:bCs/>
                <w:color w:val="000000"/>
              </w:rPr>
              <w:t>Purpose</w:t>
            </w:r>
          </w:p>
        </w:tc>
      </w:tr>
      <w:tr w14:paraId="66D46D5E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02274B8E">
            <w:pPr>
              <w:jc w:val="left"/>
            </w:pPr>
            <w:r>
              <w:t>README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7D8347E">
            <w:pPr>
              <w:jc w:val="left"/>
            </w:pPr>
            <w:r>
              <w:t>How to use the template, formula references</w:t>
            </w:r>
          </w:p>
        </w:tc>
      </w:tr>
      <w:tr w14:paraId="009BCECD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09A6A9A4">
            <w:pPr>
              <w:jc w:val="left"/>
            </w:pPr>
            <w:r>
              <w:t>Daily Log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A91655A">
            <w:pPr>
              <w:jc w:val="left"/>
            </w:pPr>
            <w:r>
              <w:t>Day-by-day SKU transactions: opening stock, received, issued, closing stock (auto)</w:t>
            </w:r>
          </w:p>
        </w:tc>
      </w:tr>
      <w:tr w14:paraId="5C331694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06E6A003">
            <w:pPr>
              <w:jc w:val="left"/>
            </w:pPr>
            <w:r>
              <w:t>ABC_XYZ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69BD98B">
            <w:pPr>
              <w:jc w:val="left"/>
            </w:pPr>
            <w:r>
              <w:t>Post-90-day classification of every SKU (consumption value × demand variability)</w:t>
            </w:r>
          </w:p>
        </w:tc>
      </w:tr>
      <w:tr w14:paraId="2D998746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AF633C8">
            <w:pPr>
              <w:jc w:val="left"/>
            </w:pPr>
            <w:r>
              <w:t>ROP_Calc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3BDAA41">
            <w:pPr>
              <w:jc w:val="left"/>
            </w:pPr>
            <w:r>
              <w:t xml:space="preserve">Re-Order Point computation: </w:t>
            </w:r>
            <w:r>
              <w:rPr>
                <w:rFonts w:ascii="Consolas" w:hAnsi="Consolas" w:eastAsia="Consolas" w:cs="Consolas"/>
                <w:color w:val="333333"/>
                <w:sz w:val="20"/>
                <w:szCs w:val="20"/>
                <w:shd w:val="clear" w:fill="F5F5F5"/>
              </w:rPr>
              <w:t>(D × L) + SS</w:t>
            </w:r>
            <w:r>
              <w:t xml:space="preserve"> with auto-calculated reorder dates and actions</w:t>
            </w:r>
          </w:p>
        </w:tc>
      </w:tr>
    </w:tbl>
    <w:p w14:paraId="152C7313">
      <w:pPr>
        <w:spacing w:before="120" w:after="120" w:line="360" w:lineRule="auto"/>
      </w:pPr>
      <w:r>
        <w:rPr>
          <w:b/>
          <w:bCs/>
        </w:rPr>
        <w:t>Workflow:</w:t>
      </w:r>
    </w:p>
    <w:p w14:paraId="55E18917">
      <w:pPr>
        <w:pStyle w:val="15"/>
        <w:numPr>
          <w:ilvl w:val="0"/>
          <w:numId w:val="2"/>
        </w:numPr>
        <w:spacing w:before="60" w:after="60" w:line="360" w:lineRule="auto"/>
        <w:ind w:left="360" w:hanging="259"/>
      </w:pPr>
      <w:r>
        <w:t>Copy Daily Log structure. One row per day per SKU.</w:t>
      </w:r>
    </w:p>
    <w:p w14:paraId="795703BC">
      <w:pPr>
        <w:pStyle w:val="15"/>
        <w:numPr>
          <w:ilvl w:val="0"/>
          <w:numId w:val="2"/>
        </w:numPr>
        <w:spacing w:before="60" w:after="60" w:line="360" w:lineRule="auto"/>
        <w:ind w:left="360" w:hanging="259"/>
      </w:pPr>
      <w:r>
        <w:t>Fill Opening Stock at start of period. Enter daily Received / Issued. Closing Stock auto-calculates.</w:t>
      </w:r>
    </w:p>
    <w:p w14:paraId="5DFE8386">
      <w:pPr>
        <w:pStyle w:val="15"/>
        <w:numPr>
          <w:ilvl w:val="0"/>
          <w:numId w:val="2"/>
        </w:numPr>
        <w:spacing w:before="60" w:after="60" w:line="360" w:lineRule="auto"/>
        <w:ind w:left="360" w:hanging="259"/>
      </w:pPr>
      <w:r>
        <w:t>After 90 days, aggregate by SKU → ABC/XYZ sheet → CV auto-calculates from Std Dev / Avg Daily Demand.</w:t>
      </w:r>
    </w:p>
    <w:p w14:paraId="25D90278">
      <w:pPr>
        <w:pStyle w:val="15"/>
        <w:numPr>
          <w:ilvl w:val="0"/>
          <w:numId w:val="2"/>
        </w:numPr>
        <w:spacing w:before="60" w:after="60" w:line="360" w:lineRule="auto"/>
        <w:ind w:left="360" w:hanging="259"/>
      </w:pPr>
      <w:r>
        <w:t>Use ROP_Calc sheet with your supplier lead time + target safety stock → get reorder dates.</w:t>
      </w:r>
    </w:p>
    <w:p w14:paraId="057D0124">
      <w:pPr>
        <w:spacing w:before="120" w:after="120" w:line="360" w:lineRule="auto"/>
      </w:pPr>
      <w:r>
        <w:rPr>
          <w:b/>
          <w:bCs/>
        </w:rPr>
        <w:t>Formula reminders</w:t>
      </w:r>
      <w:r>
        <w:t xml:space="preserve"> (full formulas in the workbook):</w:t>
      </w:r>
    </w:p>
    <w:p w14:paraId="369A59A0">
      <w:pPr>
        <w:pBdr>
          <w:left w:val="single" w:color="CCCCCC" w:sz="12" w:space="0"/>
        </w:pBdr>
        <w:shd w:val="clear" w:fill="F9F9F9"/>
        <w:spacing w:before="120" w:after="120" w:line="360" w:lineRule="auto"/>
        <w:ind w:left="720"/>
      </w:pPr>
      <w:r>
        <w:rPr>
          <w:b/>
          <w:bCs/>
          <w:i/>
          <w:iCs/>
          <w:color w:val="666666"/>
        </w:rPr>
        <w:t>ROP</w:t>
      </w:r>
      <w:r>
        <w:rPr>
          <w:i/>
          <w:iCs/>
          <w:color w:val="666666"/>
        </w:rPr>
        <w:t xml:space="preserve"> = (Average Daily Demand × Supplier Lead Time) + Safety Stock</w:t>
      </w:r>
    </w:p>
    <w:p w14:paraId="7A676DAF">
      <w:pPr>
        <w:pBdr>
          <w:left w:val="single" w:color="CCCCCC" w:sz="12" w:space="0"/>
        </w:pBdr>
        <w:shd w:val="clear" w:fill="F9F9F9"/>
        <w:spacing w:before="120" w:after="120" w:line="360" w:lineRule="auto"/>
        <w:ind w:left="720"/>
      </w:pPr>
      <w:r>
        <w:rPr>
          <w:b/>
          <w:bCs/>
          <w:i/>
          <w:iCs/>
          <w:color w:val="666666"/>
        </w:rPr>
        <w:t>CV</w:t>
      </w:r>
      <w:r>
        <w:rPr>
          <w:i/>
          <w:iCs/>
          <w:color w:val="666666"/>
        </w:rPr>
        <w:t xml:space="preserve"> = Standard Deviation of Daily Demand / Mean Daily Demand</w:t>
      </w:r>
    </w:p>
    <w:p w14:paraId="71067FE5">
      <w:pPr>
        <w:pBdr>
          <w:left w:val="single" w:color="CCCCCC" w:sz="12" w:space="0"/>
        </w:pBdr>
        <w:shd w:val="clear" w:fill="F9F9F9"/>
        <w:spacing w:before="120" w:after="120" w:line="360" w:lineRule="auto"/>
        <w:ind w:left="720"/>
      </w:pPr>
      <w:r>
        <w:rPr>
          <w:b/>
          <w:bCs/>
          <w:i/>
          <w:iCs/>
          <w:color w:val="666666"/>
        </w:rPr>
        <w:t>A/X items</w:t>
      </w:r>
      <w:r>
        <w:rPr>
          <w:i/>
          <w:iCs/>
          <w:color w:val="666666"/>
        </w:rPr>
        <w:t xml:space="preserve">: tight ROP, frequent review. </w:t>
      </w:r>
      <w:r>
        <w:rPr>
          <w:b/>
          <w:bCs/>
          <w:i/>
          <w:iCs/>
          <w:color w:val="666666"/>
        </w:rPr>
        <w:t>C/Z items</w:t>
      </w:r>
      <w:r>
        <w:rPr>
          <w:i/>
          <w:iCs/>
          <w:color w:val="666666"/>
        </w:rPr>
        <w:t>: on-demand from manufacturer.</w:t>
      </w:r>
    </w:p>
    <w:p w14:paraId="11519276">
      <w:pPr>
        <w:spacing w:before="120" w:after="120" w:line="360" w:lineRule="auto"/>
      </w:pPr>
      <w:r>
        <w:rPr>
          <w:b/>
          <w:bCs/>
        </w:rPr>
        <w:t>Tier:</w:t>
      </w:r>
      <w:r>
        <w:t xml:space="preserve"> Tier 3 framework + Tier 4 (Zuboo after-sales workflow supporting dealer-side consumption analysis).</w:t>
      </w:r>
    </w:p>
    <w:p w14:paraId="7FB333FE">
      <w:pPr>
        <w:jc w:val="center"/>
      </w:pPr>
      <w:r>
        <w:rPr>
          <w:color w:val="CCCCCC"/>
        </w:rPr>
        <w:t>──────────────────────────────────────────────────</w:t>
      </w:r>
    </w:p>
    <w:p w14:paraId="1A91AA49">
      <w:pPr>
        <w:pStyle w:val="3"/>
        <w:spacing w:before="288" w:after="180" w:line="276" w:lineRule="auto"/>
      </w:pPr>
      <w:r>
        <w:rPr>
          <w:b/>
          <w:bCs/>
          <w:color w:val="2E74B5"/>
          <w:sz w:val="28"/>
          <w:szCs w:val="28"/>
        </w:rPr>
        <w:t>Document Cross-References</w:t>
      </w:r>
    </w:p>
    <w:tbl>
      <w:tblPr>
        <w:tblStyle w:val="10"/>
        <w:tblW w:w="5000" w:type="pct"/>
        <w:tblInd w:w="0" w:type="dxa"/>
        <w:tbl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732"/>
        <w:gridCol w:w="6284"/>
      </w:tblGrid>
      <w:tr w14:paraId="287D0658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94DE239">
            <w:pPr>
              <w:jc w:val="left"/>
            </w:pPr>
            <w:r>
              <w:rPr>
                <w:b/>
                <w:bCs/>
                <w:color w:val="000000"/>
              </w:rPr>
              <w:t>This document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2B6DE30">
            <w:pPr>
              <w:jc w:val="left"/>
            </w:pPr>
            <w:r>
              <w:rPr>
                <w:b/>
                <w:bCs/>
                <w:color w:val="000000"/>
              </w:rPr>
              <w:t>Blog section</w:t>
            </w:r>
          </w:p>
        </w:tc>
      </w:tr>
      <w:tr w14:paraId="07919A73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1891C0E">
            <w:pPr>
              <w:jc w:val="left"/>
            </w:pPr>
            <w:r>
              <w:t>§1 Battery chemistry table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06A5DC8B">
            <w:pPr>
              <w:jc w:val="left"/>
            </w:pPr>
            <w:r>
              <w:t>§Compatibility and Matching — Battery ↔ charger</w:t>
            </w:r>
          </w:p>
        </w:tc>
      </w:tr>
      <w:tr w14:paraId="2CEF5CCB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EE451E4">
            <w:pPr>
              <w:jc w:val="left"/>
            </w:pPr>
            <w:r>
              <w:t>§2 IP rating table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F20DEE4">
            <w:pPr>
              <w:jc w:val="left"/>
            </w:pPr>
            <w:r>
              <w:t>§FAQ Q7 — How do IP ratings affect which spare parts to keep on hand?</w:t>
            </w:r>
          </w:p>
        </w:tc>
      </w:tr>
      <w:tr w14:paraId="72207001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1E8BBBC6">
            <w:pPr>
              <w:jc w:val="left"/>
            </w:pPr>
            <w:r>
              <w:t>§3 Three configurations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C2C39A2">
            <w:pPr>
              <w:jc w:val="left"/>
            </w:pPr>
            <w:r>
              <w:t>§Core Spare-Part Categories — SKU taxonomy</w:t>
            </w:r>
          </w:p>
        </w:tc>
      </w:tr>
      <w:tr w14:paraId="71FA1072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1947D4F4">
            <w:pPr>
              <w:jc w:val="left"/>
            </w:pPr>
            <w:r>
              <w:t>§4 Hall-sensor pinouts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2C979044">
            <w:pPr>
              <w:jc w:val="left"/>
            </w:pPr>
            <w:r>
              <w:t>§Common Misconception #1 — “Every BLDC is an integrated drive unit”</w:t>
            </w:r>
          </w:p>
        </w:tc>
      </w:tr>
      <w:tr w14:paraId="14F72E5C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12FD1D28">
            <w:pPr>
              <w:jc w:val="left"/>
            </w:pPr>
            <w:r>
              <w:t>§5 Decision flowchart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8597108">
            <w:pPr>
              <w:jc w:val="left"/>
            </w:pPr>
            <w:r>
              <w:t>§Decision Framework — What to stock and when to reorder</w:t>
            </w:r>
          </w:p>
        </w:tc>
      </w:tr>
      <w:tr w14:paraId="24056282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73CCC03">
            <w:pPr>
              <w:jc w:val="left"/>
            </w:pPr>
            <w:r>
              <w:t>§6 Consumption template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0B05A112">
            <w:pPr>
              <w:jc w:val="left"/>
            </w:pPr>
            <w:r>
              <w:t>§Inventory Planning — ABC/XYZ and ROP</w:t>
            </w:r>
          </w:p>
        </w:tc>
      </w:tr>
    </w:tbl>
    <w:p w14:paraId="2D09CDFF">
      <w:pPr>
        <w:jc w:val="center"/>
      </w:pPr>
      <w:r>
        <w:rPr>
          <w:color w:val="CCCCCC"/>
        </w:rPr>
        <w:t>──────────────────────────────────────────────────</w:t>
      </w:r>
    </w:p>
    <w:p w14:paraId="410D05C6">
      <w:pPr>
        <w:pStyle w:val="3"/>
        <w:spacing w:before="288" w:after="180" w:line="276" w:lineRule="auto"/>
      </w:pPr>
      <w:r>
        <w:rPr>
          <w:b/>
          <w:bCs/>
          <w:color w:val="2E74B5"/>
          <w:sz w:val="28"/>
          <w:szCs w:val="28"/>
        </w:rPr>
        <w:t>Evidence Tier Summary</w:t>
      </w:r>
    </w:p>
    <w:tbl>
      <w:tblPr>
        <w:tblStyle w:val="10"/>
        <w:tblW w:w="5000" w:type="pct"/>
        <w:tblInd w:w="0" w:type="dxa"/>
        <w:tbl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555"/>
        <w:gridCol w:w="1269"/>
        <w:gridCol w:w="5192"/>
      </w:tblGrid>
      <w:tr w14:paraId="5FF4A98A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203F17F7">
            <w:pPr>
              <w:jc w:val="left"/>
            </w:pPr>
            <w:r>
              <w:rPr>
                <w:b/>
                <w:bCs/>
                <w:color w:val="000000"/>
              </w:rPr>
              <w:t>Section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03D18D3B">
            <w:pPr>
              <w:jc w:val="left"/>
            </w:pPr>
            <w:r>
              <w:rPr>
                <w:b/>
                <w:bCs/>
                <w:color w:val="000000"/>
              </w:rPr>
              <w:t>Tier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9A8E7EB">
            <w:pPr>
              <w:jc w:val="left"/>
            </w:pPr>
            <w:r>
              <w:rPr>
                <w:b/>
                <w:bCs/>
                <w:color w:val="000000"/>
              </w:rPr>
              <w:t>Notes</w:t>
            </w:r>
          </w:p>
        </w:tc>
      </w:tr>
      <w:tr w14:paraId="6A973F39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5524073">
            <w:pPr>
              <w:jc w:val="left"/>
            </w:pPr>
            <w:r>
              <w:t>§1 Battery chemistry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073F21B">
            <w:pPr>
              <w:jc w:val="left"/>
            </w:pPr>
            <w:r>
              <w:t>Tier 3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26F37315">
            <w:pPr>
              <w:jc w:val="left"/>
            </w:pPr>
            <w:r>
              <w:t>Standard lithium-cell voltage values; verify against cell vendor datasheet</w:t>
            </w:r>
          </w:p>
        </w:tc>
      </w:tr>
      <w:tr w14:paraId="38A1BA92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BF29FE5">
            <w:pPr>
              <w:jc w:val="left"/>
            </w:pPr>
            <w:r>
              <w:t>§2 IP ratings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0B9B1B6">
            <w:pPr>
              <w:jc w:val="left"/>
            </w:pPr>
            <w:r>
              <w:t>Tier 3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07F7BA18">
            <w:pPr>
              <w:jc w:val="left"/>
            </w:pPr>
            <w:r>
              <w:t>Standard ingress-protection codes per IEC 60529</w:t>
            </w:r>
          </w:p>
        </w:tc>
      </w:tr>
      <w:tr w14:paraId="76CC83D5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2866F53">
            <w:pPr>
              <w:jc w:val="left"/>
            </w:pPr>
            <w:r>
              <w:t>§3 Motor configurations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3A1B597">
            <w:pPr>
              <w:jc w:val="left"/>
            </w:pPr>
            <w:r>
              <w:t>Tier 4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09553CE0">
            <w:pPr>
              <w:jc w:val="left"/>
            </w:pPr>
            <w:r>
              <w:t>Zuboo first-party SKU taxonomy</w:t>
            </w:r>
          </w:p>
        </w:tc>
      </w:tr>
      <w:tr w14:paraId="615CD8BB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2068D0FD">
            <w:pPr>
              <w:jc w:val="left"/>
            </w:pPr>
            <w:r>
              <w:t>§4 Hall-sensor pinouts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1EBD09D">
            <w:pPr>
              <w:jc w:val="left"/>
            </w:pPr>
            <w:r>
              <w:t>Tier 3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0F4CE4D">
            <w:pPr>
              <w:jc w:val="left"/>
            </w:pPr>
            <w:r>
              <w:t>Illustrative; pinout specifics vary by manufacturer</w:t>
            </w:r>
          </w:p>
        </w:tc>
      </w:tr>
      <w:tr w14:paraId="349484C8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947B90B">
            <w:pPr>
              <w:jc w:val="left"/>
            </w:pPr>
            <w:r>
              <w:t>§5 Decision flowchart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1790EDB4">
            <w:pPr>
              <w:jc w:val="left"/>
            </w:pPr>
            <w:r>
              <w:t>Tier 3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7BA4833">
            <w:pPr>
              <w:jc w:val="left"/>
            </w:pPr>
            <w:r>
              <w:t>Engineering framework</w:t>
            </w:r>
          </w:p>
        </w:tc>
      </w:tr>
      <w:tr w14:paraId="1F5DACCA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14F93ECE">
            <w:pPr>
              <w:jc w:val="left"/>
            </w:pPr>
            <w:r>
              <w:t>§6 Consumption template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063639BA">
            <w:pPr>
              <w:jc w:val="left"/>
            </w:pPr>
            <w:r>
              <w:t>Tier 3 + Tier 4</w:t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9F9F9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2835B46B">
            <w:pPr>
              <w:jc w:val="left"/>
            </w:pPr>
            <w:r>
              <w:t>Framework + Zuboo dealer-portal workflow</w:t>
            </w:r>
          </w:p>
        </w:tc>
      </w:tr>
    </w:tbl>
    <w:p w14:paraId="72C44E2A">
      <w:pPr>
        <w:spacing w:before="120" w:after="120" w:line="360" w:lineRule="auto"/>
      </w:pPr>
      <w:r>
        <w:rPr>
          <w:b/>
          <w:bCs/>
        </w:rPr>
        <w:t>No Tier 2 industry statistics are quoted.</w:t>
      </w:r>
      <w:r>
        <w:t xml:space="preserve"> Replace starter values with measured 90-day consumption per blog §Inventory Planning.</w:t>
      </w:r>
    </w:p>
    <w:p w14:paraId="170B9DE3">
      <w:pPr>
        <w:jc w:val="center"/>
      </w:pPr>
      <w:r>
        <w:rPr>
          <w:color w:val="CCCCCC"/>
        </w:rPr>
        <w:t>──────────────────────────────────────────────────</w:t>
      </w:r>
    </w:p>
    <w:p w14:paraId="7F300797">
      <w:pPr>
        <w:spacing w:before="120" w:after="120" w:line="360" w:lineRule="auto"/>
      </w:pPr>
      <w:r>
        <w:rPr>
          <w:b/>
          <w:bCs/>
        </w:rPr>
        <w:t>Document version:</w:t>
      </w:r>
      <w:r>
        <w:t xml:space="preserve"> v1.0 — 2026-09-16 </w:t>
      </w:r>
      <w:r>
        <w:rPr>
          <w:b/>
          <w:bCs/>
        </w:rPr>
        <w:t>Next review:</w:t>
      </w:r>
      <w:r>
        <w:t xml:space="preserve"> 2027-03-16 or upon availability of Tier 2 sources.</w:t>
      </w: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bullet"/>
      <w:lvlText w:val="●"/>
      <w:lvlJc w:val="left"/>
      <w:pPr>
        <w:ind w:left="720" w:hanging="360"/>
      </w:pPr>
    </w:lvl>
    <w:lvl w:ilvl="1" w:tentative="0">
      <w:start w:val="1"/>
      <w:numFmt w:val="bullet"/>
      <w:lvlText w:val="○"/>
      <w:lvlJc w:val="left"/>
      <w:pPr>
        <w:ind w:left="1440" w:hanging="360"/>
      </w:pPr>
    </w:lvl>
    <w:lvl w:ilvl="2" w:tentative="0">
      <w:start w:val="1"/>
      <w:numFmt w:val="bullet"/>
      <w:lvlText w:val="■"/>
      <w:lvlJc w:val="left"/>
      <w:pPr>
        <w:ind w:left="2160" w:hanging="360"/>
      </w:pPr>
    </w:lvl>
    <w:lvl w:ilvl="3" w:tentative="0">
      <w:start w:val="1"/>
      <w:numFmt w:val="bullet"/>
      <w:lvlText w:val="●"/>
      <w:lvlJc w:val="left"/>
      <w:pPr>
        <w:ind w:left="2880" w:hanging="360"/>
      </w:pPr>
    </w:lvl>
    <w:lvl w:ilvl="4" w:tentative="0">
      <w:start w:val="1"/>
      <w:numFmt w:val="bullet"/>
      <w:lvlText w:val="○"/>
      <w:lvlJc w:val="left"/>
      <w:pPr>
        <w:ind w:left="3600" w:hanging="360"/>
      </w:pPr>
    </w:lvl>
    <w:lvl w:ilvl="5" w:tentative="0">
      <w:start w:val="1"/>
      <w:numFmt w:val="bullet"/>
      <w:lvlText w:val="■"/>
      <w:lvlJc w:val="left"/>
      <w:pPr>
        <w:ind w:left="4320" w:hanging="360"/>
      </w:pPr>
    </w:lvl>
    <w:lvl w:ilvl="6" w:tentative="0">
      <w:start w:val="1"/>
      <w:numFmt w:val="bullet"/>
      <w:lvlText w:val="●"/>
      <w:lvlJc w:val="left"/>
      <w:pPr>
        <w:ind w:left="5040" w:hanging="360"/>
      </w:pPr>
    </w:lvl>
    <w:lvl w:ilvl="7" w:tentative="0">
      <w:start w:val="1"/>
      <w:numFmt w:val="bullet"/>
      <w:lvlText w:val="●"/>
      <w:lvlJc w:val="left"/>
      <w:pPr>
        <w:ind w:left="5760" w:hanging="360"/>
      </w:pPr>
    </w:lvl>
    <w:lvl w:ilvl="8" w:tentative="0">
      <w:start w:val="1"/>
      <w:numFmt w:val="bullet"/>
      <w:lvlText w:val="●"/>
      <w:lvlJc w:val="left"/>
      <w:pPr>
        <w:ind w:left="6480" w:hanging="360"/>
      </w:pPr>
    </w:lvl>
  </w:abstractNum>
  <w:abstractNum w:abstractNumId="1">
    <w:nsid w:val="59ADCABA"/>
    <w:multiLevelType w:val="multilevel"/>
    <w:tmpl w:val="59ADCABA"/>
    <w:lvl w:ilvl="0" w:tentative="0">
      <w:start w:val="1"/>
      <w:numFmt w:val="decimal"/>
      <w:lvlText w:val="%1."/>
      <w:lvlJc w:val="left"/>
    </w:lvl>
    <w:lvl w:ilvl="1" w:tentative="0">
      <w:start w:val="1"/>
      <w:numFmt w:val="decimal"/>
      <w:lvlText w:val="%2."/>
      <w:lvlJc w:val="left"/>
    </w:lvl>
    <w:lvl w:ilvl="2" w:tentative="0">
      <w:start w:val="1"/>
      <w:numFmt w:val="decimal"/>
      <w:lvlText w:val="%3."/>
      <w:lvlJc w:val="left"/>
    </w:lvl>
    <w:lvl w:ilvl="3" w:tentative="0">
      <w:start w:val="1"/>
      <w:numFmt w:val="decimal"/>
      <w:lvlText w:val="%4."/>
      <w:lvlJc w:val="left"/>
    </w:lvl>
    <w:lvl w:ilvl="4" w:tentative="0">
      <w:start w:val="1"/>
      <w:numFmt w:val="decimal"/>
      <w:lvlText w:val="%5."/>
      <w:lvlJc w:val="left"/>
    </w:lvl>
    <w:lvl w:ilvl="5" w:tentative="0">
      <w:start w:val="1"/>
      <w:numFmt w:val="decimal"/>
      <w:lvlText w:val="%6."/>
      <w:lvlJc w:val="left"/>
    </w:lvl>
    <w:lvl w:ilvl="6" w:tentative="0">
      <w:start w:val="1"/>
      <w:numFmt w:val="decimal"/>
      <w:lvlText w:val="%7."/>
      <w:lvlJc w:val="left"/>
    </w:lvl>
    <w:lvl w:ilvl="7" w:tentative="0">
      <w:start w:val="1"/>
      <w:numFmt w:val="decimal"/>
      <w:lvlText w:val="%8."/>
      <w:lvlJc w:val="left"/>
    </w:lvl>
    <w:lvl w:ilvl="8" w:tentative="0">
      <w:start w:val="1"/>
      <w:numFmt w:val="decimal"/>
      <w:lvlText w:val="%9.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2F355B4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微软雅黑" w:hAnsi="微软雅黑" w:eastAsia="微软雅黑" w:cs="微软雅黑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微软雅黑" w:hAnsi="微软雅黑" w:eastAsia="微软雅黑" w:cs="微软雅黑"/>
      <w:sz w:val="24"/>
      <w:szCs w:val="24"/>
    </w:rPr>
  </w:style>
  <w:style w:type="paragraph" w:styleId="2">
    <w:name w:val="heading 1"/>
    <w:next w:val="1"/>
    <w:qFormat/>
    <w:uiPriority w:val="0"/>
    <w:pPr>
      <w:spacing w:before="360" w:after="180" w:line="360" w:lineRule="auto"/>
    </w:pPr>
    <w:rPr>
      <w:rFonts w:ascii="微软雅黑" w:hAnsi="微软雅黑" w:eastAsia="微软雅黑" w:cs="微软雅黑"/>
      <w:b/>
      <w:bCs/>
      <w:color w:val="2E74B5"/>
      <w:sz w:val="32"/>
      <w:szCs w:val="32"/>
    </w:rPr>
  </w:style>
  <w:style w:type="paragraph" w:styleId="3">
    <w:name w:val="heading 2"/>
    <w:next w:val="1"/>
    <w:qFormat/>
    <w:uiPriority w:val="0"/>
    <w:pPr>
      <w:spacing w:before="288" w:after="180" w:line="360" w:lineRule="auto"/>
    </w:pPr>
    <w:rPr>
      <w:rFonts w:ascii="微软雅黑" w:hAnsi="微软雅黑" w:eastAsia="微软雅黑" w:cs="微软雅黑"/>
      <w:b/>
      <w:bCs/>
      <w:color w:val="2E74B5"/>
      <w:sz w:val="28"/>
      <w:szCs w:val="28"/>
    </w:rPr>
  </w:style>
  <w:style w:type="paragraph" w:styleId="4">
    <w:name w:val="heading 3"/>
    <w:next w:val="1"/>
    <w:qFormat/>
    <w:uiPriority w:val="0"/>
    <w:pPr>
      <w:spacing w:before="252" w:after="144" w:line="360" w:lineRule="auto"/>
    </w:pPr>
    <w:rPr>
      <w:rFonts w:ascii="微软雅黑" w:hAnsi="微软雅黑" w:eastAsia="微软雅黑" w:cs="微软雅黑"/>
      <w:b/>
      <w:bCs/>
      <w:color w:val="2E74B5"/>
      <w:sz w:val="26"/>
      <w:szCs w:val="26"/>
    </w:rPr>
  </w:style>
  <w:style w:type="paragraph" w:styleId="5">
    <w:name w:val="heading 4"/>
    <w:next w:val="1"/>
    <w:qFormat/>
    <w:uiPriority w:val="0"/>
    <w:pPr>
      <w:spacing w:before="215" w:after="126" w:line="360" w:lineRule="auto"/>
    </w:pPr>
    <w:rPr>
      <w:rFonts w:ascii="微软雅黑" w:hAnsi="微软雅黑" w:eastAsia="微软雅黑" w:cs="微软雅黑"/>
      <w:b/>
      <w:bCs/>
      <w:color w:val="2E74B5"/>
      <w:sz w:val="24"/>
      <w:szCs w:val="24"/>
    </w:rPr>
  </w:style>
  <w:style w:type="paragraph" w:styleId="6">
    <w:name w:val="heading 5"/>
    <w:next w:val="1"/>
    <w:qFormat/>
    <w:uiPriority w:val="0"/>
    <w:pPr>
      <w:spacing w:before="180" w:after="107" w:line="360" w:lineRule="auto"/>
    </w:pPr>
    <w:rPr>
      <w:rFonts w:ascii="微软雅黑" w:hAnsi="微软雅黑" w:eastAsia="微软雅黑" w:cs="微软雅黑"/>
      <w:b/>
      <w:bCs/>
      <w:color w:val="2E74B5"/>
      <w:sz w:val="22"/>
      <w:szCs w:val="22"/>
    </w:rPr>
  </w:style>
  <w:style w:type="paragraph" w:styleId="7">
    <w:name w:val="heading 6"/>
    <w:next w:val="1"/>
    <w:qFormat/>
    <w:uiPriority w:val="0"/>
    <w:pPr>
      <w:spacing w:before="180" w:after="107" w:line="360" w:lineRule="auto"/>
    </w:pPr>
    <w:rPr>
      <w:rFonts w:ascii="微软雅黑" w:hAnsi="微软雅黑" w:eastAsia="微软雅黑" w:cs="微软雅黑"/>
      <w:b/>
      <w:bCs/>
      <w:color w:val="2E74B5"/>
      <w:sz w:val="20"/>
      <w:szCs w:val="20"/>
    </w:rPr>
  </w:style>
  <w:style w:type="character" w:default="1" w:styleId="11">
    <w:name w:val="Default Paragraph Font"/>
    <w:semiHidden/>
    <w:uiPriority w:val="0"/>
  </w:style>
  <w:style w:type="table" w:default="1" w:styleId="10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6"/>
    <w:semiHidden/>
    <w:unhideWhenUsed/>
    <w:qFormat/>
    <w:uiPriority w:val="99"/>
    <w:pPr>
      <w:spacing w:before="120" w:after="0" w:line="240" w:lineRule="auto"/>
    </w:pPr>
    <w:rPr>
      <w:rFonts w:ascii="微软雅黑" w:hAnsi="微软雅黑" w:eastAsia="微软雅黑" w:cs="微软雅黑"/>
      <w:sz w:val="20"/>
      <w:szCs w:val="20"/>
    </w:rPr>
  </w:style>
  <w:style w:type="paragraph" w:styleId="9">
    <w:name w:val="Title"/>
    <w:qFormat/>
    <w:uiPriority w:val="0"/>
    <w:pPr>
      <w:spacing w:before="120" w:after="120" w:line="360" w:lineRule="auto"/>
    </w:pPr>
    <w:rPr>
      <w:rFonts w:ascii="微软雅黑" w:hAnsi="微软雅黑" w:eastAsia="微软雅黑" w:cs="微软雅黑"/>
      <w:sz w:val="56"/>
      <w:szCs w:val="56"/>
    </w:rPr>
  </w:style>
  <w:style w:type="character" w:styleId="12">
    <w:name w:val="FollowedHyperlink"/>
    <w:basedOn w:val="11"/>
    <w:uiPriority w:val="0"/>
    <w:rPr>
      <w:color w:val="800080"/>
      <w:u w:val="single"/>
    </w:rPr>
  </w:style>
  <w:style w:type="character" w:styleId="13">
    <w:name w:val="Hyperlink"/>
    <w:unhideWhenUsed/>
    <w:uiPriority w:val="99"/>
    <w:rPr>
      <w:color w:val="0563C1"/>
      <w:u w:val="single"/>
    </w:rPr>
  </w:style>
  <w:style w:type="character" w:styleId="14">
    <w:name w:val="footnote reference"/>
    <w:semiHidden/>
    <w:unhideWhenUsed/>
    <w:uiPriority w:val="99"/>
    <w:rPr>
      <w:vertAlign w:val="superscript"/>
    </w:rPr>
  </w:style>
  <w:style w:type="paragraph" w:styleId="15">
    <w:name w:val="List Paragraph"/>
    <w:qFormat/>
    <w:uiPriority w:val="0"/>
    <w:pPr>
      <w:spacing w:before="120" w:after="120" w:line="360" w:lineRule="auto"/>
    </w:pPr>
    <w:rPr>
      <w:rFonts w:ascii="微软雅黑" w:hAnsi="微软雅黑" w:eastAsia="微软雅黑" w:cs="微软雅黑"/>
      <w:sz w:val="24"/>
      <w:szCs w:val="24"/>
    </w:rPr>
  </w:style>
  <w:style w:type="character" w:customStyle="1" w:styleId="16">
    <w:name w:val="Footnote Text Char"/>
    <w:link w:val="8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11</Pages>
  <Words>1804</Words>
  <Characters>7727</Characters>
  <TotalTime>1</TotalTime>
  <ScaleCrop>false</ScaleCrop>
  <LinksUpToDate>false</LinksUpToDate>
  <CharactersWithSpaces>8782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2026-09-20T06:29:00Z</dcterms:created>
  <dc:creator>Un-named</dc:creator>
  <cp:lastModifiedBy>WPS_1719468641</cp:lastModifiedBy>
  <dcterms:modified xsi:type="dcterms:W3CDTF">2026-09-20T06:32:19Z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eyJoZGlkIjoiNDY4NjM4MDkwZjY2MWViM2Q2Y2YxMGIyNmUzZjg4N2EiLCJ1c2VySWQiOiIxNjEwMjYwMjY0In0=</vt:lpwstr>
  </property>
  <property fmtid="{D5CDD505-2E9C-101B-9397-08002B2CF9AE}" pid="3" name="KSOProductBuildVer">
    <vt:lpwstr>2052-12.1.0.28505</vt:lpwstr>
  </property>
  <property fmtid="{D5CDD505-2E9C-101B-9397-08002B2CF9AE}" pid="4" name="ICV">
    <vt:lpwstr>A4123D7E390A418FAA2253467AE0484C_12</vt:lpwstr>
  </property>
</Properties>
</file>